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ECFA9" w14:textId="76EC35BA" w:rsidR="00A035FC" w:rsidRDefault="00A035FC"/>
    <w:p w14:paraId="43B9FD9E" w14:textId="77CE7B9B" w:rsidR="001B3D27" w:rsidRPr="00084B89" w:rsidRDefault="001B3D27" w:rsidP="001B3D27">
      <w:pPr>
        <w:spacing w:after="0" w:line="215" w:lineRule="atLeast"/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  <w:t xml:space="preserve">                                                    </w:t>
      </w:r>
      <w:r w:rsidRPr="00084B89"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  <w:t>ЗАТВЕРДЖУЮ</w:t>
      </w:r>
    </w:p>
    <w:p w14:paraId="514367FF" w14:textId="77777777" w:rsidR="001B3D27" w:rsidRPr="00084B89" w:rsidRDefault="001B3D27" w:rsidP="001B3D27">
      <w:pPr>
        <w:tabs>
          <w:tab w:val="left" w:pos="6679"/>
        </w:tabs>
        <w:spacing w:after="0" w:line="215" w:lineRule="atLeast"/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uk-UA" w:eastAsia="ru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ru-UA"/>
        </w:rPr>
        <w:t>. д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иректор</w:t>
      </w:r>
      <w:proofErr w:type="spellEnd"/>
      <w:r>
        <w:rPr>
          <w:rFonts w:ascii="Times New Roman" w:hAnsi="Times New Roman"/>
          <w:sz w:val="28"/>
          <w:szCs w:val="28"/>
          <w:lang w:val="ru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ru-UA"/>
        </w:rPr>
        <w:t>Т.ДАНИЛЬЧЕНКО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14:paraId="21F9740F" w14:textId="77777777" w:rsidR="001B3D27" w:rsidRDefault="001B3D27" w:rsidP="001B3D27">
      <w:pPr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«___» ________ 20</w:t>
      </w:r>
      <w:r>
        <w:rPr>
          <w:rFonts w:ascii="Times New Roman" w:hAnsi="Times New Roman"/>
          <w:sz w:val="28"/>
          <w:szCs w:val="28"/>
          <w:lang w:val="ru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                </w:t>
      </w:r>
    </w:p>
    <w:p w14:paraId="4E124851" w14:textId="2E6D3A19" w:rsidR="001B3D27" w:rsidRPr="001B3D27" w:rsidRDefault="001B3D27" w:rsidP="001B3D27"/>
    <w:p w14:paraId="30AFFCE6" w14:textId="77777777" w:rsidR="001B3D27" w:rsidRPr="001B3D27" w:rsidRDefault="001B3D27" w:rsidP="001B3D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3D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</w:t>
      </w:r>
    </w:p>
    <w:p w14:paraId="0537C70D" w14:textId="77777777" w:rsidR="001B3D27" w:rsidRDefault="001B3D27" w:rsidP="001B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uk-UA" w:eastAsia="ru-UA"/>
        </w:rPr>
      </w:pP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реагування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доведені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випадки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булінгу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цькування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в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закладі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освіти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відповідальність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осіб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причетних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булінгу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цькування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1B3D27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uk-UA" w:eastAsia="ru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uk-UA" w:eastAsia="ru-UA"/>
        </w:rPr>
        <w:t>у КЗ «Харківська спеціальна школа №2»</w:t>
      </w:r>
    </w:p>
    <w:p w14:paraId="370A0D06" w14:textId="25F10D67" w:rsidR="001B3D27" w:rsidRDefault="001B3D27" w:rsidP="001B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uk-UA" w:eastAsia="ru-UA"/>
        </w:rPr>
        <w:t xml:space="preserve"> Харківської обласної ради</w:t>
      </w:r>
    </w:p>
    <w:p w14:paraId="2B9BEFE7" w14:textId="77777777" w:rsidR="001B3D27" w:rsidRDefault="001B3D27" w:rsidP="001B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uk-UA" w:eastAsia="ru-UA"/>
        </w:rPr>
      </w:pPr>
    </w:p>
    <w:p w14:paraId="6B55C81C" w14:textId="77777777" w:rsidR="001B3D27" w:rsidRPr="001B3D27" w:rsidRDefault="001B3D27" w:rsidP="001B3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r w:rsidRPr="001B3D27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І. 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Загальні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положення</w:t>
      </w:r>
      <w:proofErr w:type="spellEnd"/>
    </w:p>
    <w:p w14:paraId="2952FADA" w14:textId="778774A0" w:rsidR="001B3D27" w:rsidRPr="0065727D" w:rsidRDefault="001B3D27" w:rsidP="001B3D27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1.1. Ц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ей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Порядок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розроблено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на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виконання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Закону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України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r>
        <w:rPr>
          <w:sz w:val="28"/>
          <w:szCs w:val="28"/>
          <w:lang w:val="uk-UA"/>
        </w:rPr>
        <w:t>«</w:t>
      </w:r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деяких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законодавчих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актів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протидії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»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18.12.2018р.</w:t>
      </w:r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№</w:t>
      </w:r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8584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та з метою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систематизації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роботи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щодо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подання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та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розгляду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заяв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про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випадки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булінгу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  <w:t>Кз</w:t>
      </w:r>
      <w:proofErr w:type="spellEnd"/>
      <w:r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  <w:t xml:space="preserve"> «ХСШ №2» ХОР</w:t>
      </w: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забезпечення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гарантованого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виконання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вимог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чинного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законодавства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і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недопущення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порушень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у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сфері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освіти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.</w:t>
      </w:r>
    </w:p>
    <w:p w14:paraId="23114A3B" w14:textId="41AA717A" w:rsidR="003765AD" w:rsidRPr="00D331CD" w:rsidRDefault="001B3D27" w:rsidP="001B3D27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</w:pP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1.2.</w:t>
      </w:r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 </w:t>
      </w:r>
      <w:r w:rsidR="00D331CD" w:rsidRPr="00D331C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Цей Порядок визначає процедуру реагування на доведені випадки </w:t>
      </w:r>
      <w:proofErr w:type="spellStart"/>
      <w:r w:rsidR="00D331CD" w:rsidRPr="00D331C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="00D331CD" w:rsidRPr="00D331C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(цькування) в закладі</w:t>
      </w:r>
      <w:r w:rsidR="00D331C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освіти.</w:t>
      </w:r>
    </w:p>
    <w:p w14:paraId="6F6E3CA8" w14:textId="7BBA4230" w:rsidR="001B3D27" w:rsidRPr="0065727D" w:rsidRDefault="003765AD" w:rsidP="001B3D27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3765AD"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  <w:t>1.3.</w:t>
      </w:r>
      <w:r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uk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Булінг</w:t>
      </w:r>
      <w:proofErr w:type="spellEnd"/>
      <w:r w:rsidR="001B3D27"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 xml:space="preserve"> (</w:t>
      </w:r>
      <w:proofErr w:type="spellStart"/>
      <w:r w:rsidR="001B3D27"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цькування</w:t>
      </w:r>
      <w:proofErr w:type="spellEnd"/>
      <w:r w:rsidR="001B3D27"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) –</w:t>
      </w:r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 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діяння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(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дії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або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бездіяльність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)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учасників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освітнього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процесу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які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полягають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у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психологічному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фізичному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економічному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сексуальному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насильстві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у тому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числі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із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застосуванням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засобів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електронних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комунікацій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що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вчиняються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стосовно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малолітньої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чи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неповнолітньої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особи та (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або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) такою особою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стосовно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інших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учасників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освітнього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процесу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внаслідок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чого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могла бути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чи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була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заподіяна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шкода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психічному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або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фізичному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здоров’ю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потерпілого</w:t>
      </w:r>
      <w:proofErr w:type="spellEnd"/>
      <w:r w:rsidR="001B3D27"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.</w:t>
      </w:r>
    </w:p>
    <w:p w14:paraId="5E84B5C9" w14:textId="7319F376" w:rsidR="001B3D27" w:rsidRPr="001B3D27" w:rsidRDefault="001B3D27" w:rsidP="001B3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r w:rsidRPr="001B3D27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ІІ. Порядок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lang w:val="ru-UA"/>
        </w:rPr>
        <w:t>реагування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на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доведенні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випадки</w:t>
      </w:r>
      <w:proofErr w:type="spellEnd"/>
      <w:r w:rsidRPr="001B3D27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1B3D27">
        <w:rPr>
          <w:rFonts w:ascii="Times New Roman" w:hAnsi="Times New Roman" w:cs="Times New Roman"/>
          <w:b/>
          <w:bCs/>
          <w:sz w:val="28"/>
          <w:szCs w:val="28"/>
          <w:lang w:val="ru-UA"/>
        </w:rPr>
        <w:t>булінгу</w:t>
      </w:r>
      <w:proofErr w:type="spellEnd"/>
    </w:p>
    <w:p w14:paraId="243EB883" w14:textId="0121432F" w:rsidR="001B3D27" w:rsidRPr="001B3D27" w:rsidRDefault="001B3D27" w:rsidP="001B3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BD2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3D27">
        <w:rPr>
          <w:rFonts w:ascii="Times New Roman" w:hAnsi="Times New Roman" w:cs="Times New Roman"/>
          <w:sz w:val="28"/>
          <w:szCs w:val="28"/>
          <w:lang w:val="ru-UA"/>
        </w:rPr>
        <w:t>Після</w:t>
      </w:r>
      <w:proofErr w:type="spellEnd"/>
      <w:r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1B3D27">
        <w:rPr>
          <w:rFonts w:ascii="Times New Roman" w:hAnsi="Times New Roman" w:cs="Times New Roman"/>
          <w:sz w:val="28"/>
          <w:szCs w:val="28"/>
          <w:lang w:val="ru-UA"/>
        </w:rPr>
        <w:t>отримання</w:t>
      </w:r>
      <w:proofErr w:type="spellEnd"/>
      <w:r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заяви про </w:t>
      </w:r>
      <w:proofErr w:type="spellStart"/>
      <w:r w:rsidRPr="001B3D27">
        <w:rPr>
          <w:rFonts w:ascii="Times New Roman" w:hAnsi="Times New Roman" w:cs="Times New Roman"/>
          <w:sz w:val="28"/>
          <w:szCs w:val="28"/>
          <w:lang w:val="ru-UA"/>
        </w:rPr>
        <w:t>випадок</w:t>
      </w:r>
      <w:proofErr w:type="spellEnd"/>
      <w:r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1B3D27">
        <w:rPr>
          <w:rFonts w:ascii="Times New Roman" w:hAnsi="Times New Roman" w:cs="Times New Roman"/>
          <w:sz w:val="28"/>
          <w:szCs w:val="28"/>
          <w:lang w:val="ru-UA"/>
        </w:rPr>
        <w:t>булінгу</w:t>
      </w:r>
      <w:proofErr w:type="spellEnd"/>
      <w:r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1B3D27">
        <w:rPr>
          <w:rFonts w:ascii="Times New Roman" w:hAnsi="Times New Roman" w:cs="Times New Roman"/>
          <w:sz w:val="28"/>
          <w:szCs w:val="28"/>
          <w:lang w:val="ru-UA"/>
        </w:rPr>
        <w:t>закладі</w:t>
      </w:r>
      <w:proofErr w:type="spellEnd"/>
      <w:r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1B3D27">
        <w:rPr>
          <w:rFonts w:ascii="Times New Roman" w:hAnsi="Times New Roman" w:cs="Times New Roman"/>
          <w:sz w:val="28"/>
          <w:szCs w:val="28"/>
          <w:lang w:val="ru-UA"/>
        </w:rPr>
        <w:t>протягом</w:t>
      </w:r>
      <w:proofErr w:type="spellEnd"/>
      <w:r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одного </w:t>
      </w:r>
      <w:proofErr w:type="spellStart"/>
      <w:r w:rsidRPr="001B3D27">
        <w:rPr>
          <w:rFonts w:ascii="Times New Roman" w:hAnsi="Times New Roman" w:cs="Times New Roman"/>
          <w:sz w:val="28"/>
          <w:szCs w:val="28"/>
          <w:lang w:val="ru-UA"/>
        </w:rPr>
        <w:t>робочого</w:t>
      </w:r>
      <w:proofErr w:type="spellEnd"/>
      <w:r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дня с</w:t>
      </w:r>
      <w:proofErr w:type="spellStart"/>
      <w:r w:rsidR="00BD2662">
        <w:rPr>
          <w:rFonts w:ascii="Times New Roman" w:hAnsi="Times New Roman" w:cs="Times New Roman"/>
          <w:sz w:val="28"/>
          <w:szCs w:val="28"/>
          <w:lang w:val="uk-UA"/>
        </w:rPr>
        <w:t>кликається</w:t>
      </w:r>
      <w:proofErr w:type="spellEnd"/>
      <w:r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1B3D27">
        <w:rPr>
          <w:rFonts w:ascii="Times New Roman" w:hAnsi="Times New Roman" w:cs="Times New Roman"/>
          <w:sz w:val="28"/>
          <w:szCs w:val="28"/>
          <w:lang w:val="ru-UA"/>
        </w:rPr>
        <w:t>комісія</w:t>
      </w:r>
      <w:proofErr w:type="spellEnd"/>
      <w:r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1B3D27">
        <w:rPr>
          <w:rFonts w:ascii="Times New Roman" w:hAnsi="Times New Roman" w:cs="Times New Roman"/>
          <w:sz w:val="28"/>
          <w:szCs w:val="28"/>
          <w:lang w:val="ru-UA"/>
        </w:rPr>
        <w:t>проведення</w:t>
      </w:r>
      <w:proofErr w:type="spellEnd"/>
      <w:r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1B3D27">
        <w:rPr>
          <w:rFonts w:ascii="Times New Roman" w:hAnsi="Times New Roman" w:cs="Times New Roman"/>
          <w:sz w:val="28"/>
          <w:szCs w:val="28"/>
          <w:lang w:val="ru-UA"/>
        </w:rPr>
        <w:t>розслідування</w:t>
      </w:r>
      <w:proofErr w:type="spellEnd"/>
      <w:r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, склад </w:t>
      </w:r>
      <w:proofErr w:type="spellStart"/>
      <w:r w:rsidRPr="001B3D27">
        <w:rPr>
          <w:rFonts w:ascii="Times New Roman" w:hAnsi="Times New Roman" w:cs="Times New Roman"/>
          <w:sz w:val="28"/>
          <w:szCs w:val="28"/>
          <w:lang w:val="ru-UA"/>
        </w:rPr>
        <w:t>якої</w:t>
      </w:r>
      <w:proofErr w:type="spellEnd"/>
      <w:r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1B3D27">
        <w:rPr>
          <w:rFonts w:ascii="Times New Roman" w:hAnsi="Times New Roman" w:cs="Times New Roman"/>
          <w:sz w:val="28"/>
          <w:szCs w:val="28"/>
          <w:lang w:val="ru-UA"/>
        </w:rPr>
        <w:t>затвердж</w:t>
      </w:r>
      <w:r w:rsidR="00BD2662">
        <w:rPr>
          <w:rFonts w:ascii="Times New Roman" w:hAnsi="Times New Roman" w:cs="Times New Roman"/>
          <w:sz w:val="28"/>
          <w:szCs w:val="28"/>
          <w:lang w:val="uk-UA"/>
        </w:rPr>
        <w:t>ено</w:t>
      </w:r>
      <w:proofErr w:type="spellEnd"/>
      <w:r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наказом по закладу.</w:t>
      </w:r>
    </w:p>
    <w:p w14:paraId="153940ED" w14:textId="7072D9FA" w:rsidR="001B3D27" w:rsidRPr="001B3D27" w:rsidRDefault="00BD2662" w:rsidP="001B3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Комісія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проводить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розслідування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випадку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булінгу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протягом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трьох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робочих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днів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07C7493" w14:textId="3E0B5FDE" w:rsidR="001B3D27" w:rsidRPr="001B3D27" w:rsidRDefault="00437CBC" w:rsidP="001B3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За результатами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проведення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розслідування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проводиться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розгляду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випадку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булінгу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прийняття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рішення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оформлюється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протокольно з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оригіналами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підписів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всіх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членів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)</w:t>
      </w:r>
    </w:p>
    <w:p w14:paraId="5191193F" w14:textId="737CAE8B" w:rsidR="001B3D27" w:rsidRPr="001B3D27" w:rsidRDefault="00437CBC" w:rsidP="001B3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З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рішенням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рекомендаціями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розгляду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випадку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булінгу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під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підпис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ознайомлюються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їх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виконавці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uk-UA"/>
        </w:rPr>
        <w:t xml:space="preserve"> та  фіксуються  в  журналі  реєстрації  рішень  комісії  з 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826AAA" w14:textId="3BEEC8C6" w:rsidR="001B3D27" w:rsidRDefault="00437CBC" w:rsidP="001B3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 Про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результати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розгляду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заяви про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випадок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булінгу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повідомляють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заявника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, Службу у справах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дітей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уповноважений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підрозділ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органу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Національної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поліції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ювенальну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поліцію</w:t>
      </w:r>
      <w:proofErr w:type="spellEnd"/>
      <w:r w:rsidR="001B3D27" w:rsidRPr="001B3D27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52992646" w14:textId="49077465" w:rsidR="005D3D05" w:rsidRPr="001B3D27" w:rsidRDefault="005D3D05" w:rsidP="001B3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2.6.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173</w:t>
      </w:r>
      <w:r w:rsidRPr="00E6779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42E15D" w14:textId="77777777" w:rsidR="001B3D27" w:rsidRPr="001B3D27" w:rsidRDefault="001B3D27" w:rsidP="001B3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1B3D27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1864A4A" w14:textId="77777777" w:rsidR="001B3D27" w:rsidRPr="001B3D27" w:rsidRDefault="001B3D27" w:rsidP="001B3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3D27" w:rsidRPr="001B3D27" w:rsidSect="00A0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27"/>
    <w:rsid w:val="001B3D27"/>
    <w:rsid w:val="003765AD"/>
    <w:rsid w:val="00437CBC"/>
    <w:rsid w:val="005D3D05"/>
    <w:rsid w:val="00A035FC"/>
    <w:rsid w:val="00BD2662"/>
    <w:rsid w:val="00D331CD"/>
    <w:rsid w:val="00F6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7EAB"/>
  <w15:chartTrackingRefBased/>
  <w15:docId w15:val="{4C60FF04-BF9A-47F0-A70D-E6903B1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2020-11-20T12:36:00Z</cp:lastPrinted>
  <dcterms:created xsi:type="dcterms:W3CDTF">2020-11-20T11:12:00Z</dcterms:created>
  <dcterms:modified xsi:type="dcterms:W3CDTF">2020-11-20T12:39:00Z</dcterms:modified>
</cp:coreProperties>
</file>